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97D"/>
          <w:sz w:val="28"/>
        </w:rPr>
        <w:t>★ ПАРТНЁРСКОЕ СОГЛАШЕНИЕ ОБ АУТСОРСИНГЕ КАДРОВОГО УЧЁТА ★</w:t>
      </w:r>
    </w:p>
    <w:p>
      <w:pPr>
        <w:jc w:val="center"/>
      </w:pPr>
      <w:r>
        <w:rPr>
          <w:i/>
          <w:sz w:val="22"/>
        </w:rPr>
        <w:t>№ КА-2024/___</w:t>
      </w:r>
    </w:p>
    <w:p/>
    <w:p>
      <w:pPr>
        <w:jc w:val="both"/>
      </w:pPr>
      <w:r>
        <w:t>Настоящее Соглашение заключено между ООО «КадровыеРешения» (далее — «Провайдер») и организацией, подписавшей настоящий документ (далее — «Клиент»), и регулирует условия предоставления аутсорсинговых услуг в области управления персоналом и кадрового учёта.</w:t>
      </w:r>
    </w:p>
    <w:p/>
    <w:p>
      <w:r>
        <w:rPr>
          <w:b/>
          <w:color w:val="1F497D"/>
          <w:sz w:val="22"/>
        </w:rPr>
        <w:t>Статья 1. Услуги</w:t>
      </w:r>
    </w:p>
    <w:p>
      <w:pPr>
        <w:spacing w:after="60"/>
        <w:ind w:firstLine="283"/>
      </w:pPr>
      <w:r>
        <w:rPr>
          <w:b/>
        </w:rPr>
        <w:t xml:space="preserve">1.1. </w:t>
      </w:r>
      <w:r>
        <w:t>Провайдер оказывает услуги по ведению кадрового учёта, подготовке кадровой документации и консультированию по трудовому праву в объёме Базового пакета согласно Тарифному плану, актуальному на дату заключения Соглашения.</w:t>
      </w:r>
    </w:p>
    <w:p>
      <w:pPr>
        <w:spacing w:after="60"/>
        <w:ind w:firstLine="283"/>
      </w:pPr>
      <w:r>
        <w:rPr>
          <w:b/>
        </w:rPr>
        <w:t xml:space="preserve">1.2. </w:t>
      </w:r>
      <w:r>
        <w:t>Тарифный план может быть изменён Провайдером в одностороннем порядке. Актуальный Тарифный план публикуется на сайте Провайдера. Продолжение использования услуг Клиентом после публикации новых тарифов считается их безусловным принятием.</w:t>
      </w:r>
    </w:p>
    <w:p>
      <w:pPr>
        <w:spacing w:after="60"/>
        <w:ind w:firstLine="283"/>
      </w:pPr>
      <w:r>
        <w:rPr>
          <w:b/>
        </w:rPr>
        <w:t xml:space="preserve">1.3. </w:t>
      </w:r>
      <w:r>
        <w:t>Провайдер оставляет за собой право изменять состав Базового пакета, перемещая отдельные услуги в платные опции, при условии уведомления Клиента на сайте за 7 (семь) календарных дней.</w:t>
      </w:r>
    </w:p>
    <w:p>
      <w:pPr>
        <w:spacing w:after="60"/>
        <w:ind w:firstLine="283"/>
      </w:pPr>
      <w:r>
        <w:rPr>
          <w:b/>
        </w:rPr>
        <w:t xml:space="preserve">1.4. </w:t>
      </w:r>
      <w:r>
        <w:t>Клиент самостоятельно отслеживает изменения тарифов и состава пакетов. Незнание актуальных условий не освобождает Клиента от обязанности их исполнять.</w:t>
      </w:r>
    </w:p>
    <w:p>
      <w:r>
        <w:rPr>
          <w:b/>
          <w:color w:val="1F497D"/>
          <w:sz w:val="22"/>
        </w:rPr>
        <w:t>Статья 2. Интеллектуальная собственность</w:t>
      </w:r>
    </w:p>
    <w:p>
      <w:pPr>
        <w:spacing w:after="60"/>
        <w:ind w:firstLine="283"/>
      </w:pPr>
      <w:r>
        <w:rPr>
          <w:b/>
        </w:rPr>
        <w:t xml:space="preserve">2.1. </w:t>
      </w:r>
      <w:r>
        <w:t>Все шаблоны документов, методики, алгоритмы и программные инструменты, используемые Провайдером при оказании услуг, являются исключительной собственностью Провайдера и не передаются Клиенту ни в каком виде.</w:t>
      </w:r>
    </w:p>
    <w:p>
      <w:pPr>
        <w:spacing w:after="60"/>
        <w:ind w:firstLine="283"/>
      </w:pPr>
      <w:r>
        <w:rPr>
          <w:b/>
        </w:rPr>
        <w:t xml:space="preserve">2.2. </w:t>
      </w:r>
      <w:r>
        <w:t>Кадровые документы, подготовленные Провайдером в рамках настоящего Соглашения, передаются Клиенту в формате PDF только для использования внутри организации. Редактирование, тиражирование или передача третьим лицам запрещены.</w:t>
      </w:r>
    </w:p>
    <w:p>
      <w:pPr>
        <w:spacing w:after="60"/>
        <w:ind w:firstLine="283"/>
      </w:pPr>
      <w:r>
        <w:rPr>
          <w:b/>
        </w:rPr>
        <w:t xml:space="preserve">2.3. </w:t>
      </w:r>
      <w:r>
        <w:t>Клиент предоставляет Провайдеру безвозмездную неисключительную лицензию на использование обезличенных данных, полученных в ходе оказания услуг, в аналитических, маркетинговых и образовательных целях на неограниченный срок.</w:t>
      </w:r>
    </w:p>
    <w:p>
      <w:r>
        <w:rPr>
          <w:b/>
          <w:color w:val="1F497D"/>
          <w:sz w:val="22"/>
        </w:rPr>
        <w:t>Статья 3. Стоимость и расчёты</w:t>
      </w:r>
    </w:p>
    <w:p>
      <w:pPr>
        <w:spacing w:after="60"/>
        <w:ind w:firstLine="283"/>
      </w:pPr>
      <w:r>
        <w:rPr>
          <w:b/>
        </w:rPr>
        <w:t xml:space="preserve">3.1. </w:t>
      </w:r>
      <w:r>
        <w:t>Стоимость Базового пакета составляет 45 000 (сорок пять тысяч) рублей в месяц при штатной численности до 25 человек. При превышении численности стоимость увеличивается на 2 200 рублей за каждого дополнительного сотрудника.</w:t>
      </w:r>
    </w:p>
    <w:p>
      <w:pPr>
        <w:spacing w:after="60"/>
        <w:ind w:firstLine="283"/>
      </w:pPr>
      <w:r>
        <w:rPr>
          <w:b/>
        </w:rPr>
        <w:t xml:space="preserve">3.2. </w:t>
      </w:r>
      <w:r>
        <w:t>В целях настоящего Соглашения под «сотрудником» понимается любое физическое лицо, получающее выплаты от Клиента, включая подрядчиков по договорам ГПХ, самозанятых и иных привлечённых лиц.</w:t>
      </w:r>
    </w:p>
    <w:p>
      <w:pPr>
        <w:spacing w:after="60"/>
        <w:ind w:firstLine="283"/>
      </w:pPr>
      <w:r>
        <w:rPr>
          <w:b/>
        </w:rPr>
        <w:t xml:space="preserve">3.3. </w:t>
      </w:r>
      <w:r>
        <w:t>Счёт выставляется в первый рабочий день месяца и подлежит оплате в течение 3 (трёх) банковских дней. При просрочке оплаты начисляется пеня 1% за каждый день, а также фиксированный штраф 10 000 рублей за факт нарушения.</w:t>
      </w:r>
    </w:p>
    <w:p>
      <w:pPr>
        <w:spacing w:after="60"/>
        <w:ind w:firstLine="283"/>
      </w:pPr>
      <w:r>
        <w:rPr>
          <w:b/>
        </w:rPr>
        <w:t xml:space="preserve">3.4. </w:t>
      </w:r>
      <w:r>
        <w:t>Провайдер не осуществляет возврат денежных средств за неиспользованный период в случае досрочного расторжения по инициативе Клиента.</w:t>
      </w:r>
    </w:p>
    <w:p>
      <w:r>
        <w:rPr>
          <w:b/>
          <w:color w:val="1F497D"/>
          <w:sz w:val="22"/>
        </w:rPr>
        <w:t>Статья 4. Обязательства Клиента</w:t>
      </w:r>
    </w:p>
    <w:p>
      <w:pPr>
        <w:spacing w:after="60"/>
        <w:ind w:firstLine="283"/>
      </w:pPr>
      <w:r>
        <w:rPr>
          <w:b/>
        </w:rPr>
        <w:t xml:space="preserve">4.1. </w:t>
      </w:r>
      <w:r>
        <w:t>Клиент обязан предоставлять все запрошенные документы в течение 4 (четырёх) рабочих часов с момента запроса в рабочее время.</w:t>
      </w:r>
    </w:p>
    <w:p>
      <w:pPr>
        <w:spacing w:after="60"/>
        <w:ind w:firstLine="283"/>
      </w:pPr>
      <w:r>
        <w:rPr>
          <w:b/>
        </w:rPr>
        <w:t xml:space="preserve">4.2. </w:t>
      </w:r>
      <w:r>
        <w:t>Нарушение срока, предусмотренного п. 4.1, освобождает Провайдера от ответственности за нарушение сроков оказания услуг, установленных регуляторами.</w:t>
      </w:r>
    </w:p>
    <w:p>
      <w:pPr>
        <w:spacing w:after="60"/>
        <w:ind w:firstLine="283"/>
      </w:pPr>
      <w:r>
        <w:rPr>
          <w:b/>
        </w:rPr>
        <w:t xml:space="preserve">4.3. </w:t>
      </w:r>
      <w:r>
        <w:t>Клиент обязан обеспечить одного выделенного сотрудника (контактного лица), доступного для коммуникации с Провайдером в течение всего рабочего дня. Смена контактного лица согласовывается с Провайдером за 5 рабочих дней.</w:t>
      </w:r>
    </w:p>
    <w:p>
      <w:pPr>
        <w:spacing w:after="60"/>
        <w:ind w:firstLine="283"/>
      </w:pPr>
      <w:r>
        <w:rPr>
          <w:b/>
        </w:rPr>
        <w:t xml:space="preserve">4.4. </w:t>
      </w:r>
      <w:r>
        <w:t>Клиент несёт ответственность за достоверность и актуальность всех сведений, переданных Провайдеру. Провайдер не проверяет предоставленные данные и не несёт ответственности за последствия их недостоверности.</w:t>
      </w:r>
    </w:p>
    <w:p>
      <w:r>
        <w:rPr>
          <w:b/>
          <w:color w:val="1F497D"/>
          <w:sz w:val="22"/>
        </w:rPr>
        <w:t>Статья 5. Ограничение ответственности</w:t>
      </w:r>
    </w:p>
    <w:p>
      <w:pPr>
        <w:spacing w:after="60"/>
        <w:ind w:firstLine="283"/>
      </w:pPr>
      <w:r>
        <w:rPr>
          <w:b/>
        </w:rPr>
        <w:t xml:space="preserve">5.1. </w:t>
      </w:r>
      <w:r>
        <w:t>Ответственность Провайдера ограничена исключительно прямым реальным ущербом и не включает упущенную выгоду, репутационный ущерб, штрафы регуляторов и иные косвенные убытки.</w:t>
      </w:r>
    </w:p>
    <w:p>
      <w:pPr>
        <w:spacing w:after="60"/>
        <w:ind w:firstLine="283"/>
      </w:pPr>
      <w:r>
        <w:rPr>
          <w:b/>
        </w:rPr>
        <w:t xml:space="preserve">5.2. </w:t>
      </w:r>
      <w:r>
        <w:t>Максимальный размер возмещения по любому требованию не превышает стоимости услуг за 1 (один) календарный месяц.</w:t>
      </w:r>
    </w:p>
    <w:p>
      <w:pPr>
        <w:spacing w:after="60"/>
        <w:ind w:firstLine="283"/>
      </w:pPr>
      <w:r>
        <w:rPr>
          <w:b/>
        </w:rPr>
        <w:t xml:space="preserve">5.3. </w:t>
      </w:r>
      <w:r>
        <w:t>Требования о возмещении вреда принимаются не позднее 14 (четырнадцати) календарных дней с момента обнаружения нарушения.</w:t>
      </w:r>
    </w:p>
    <w:p>
      <w:r>
        <w:rPr>
          <w:b/>
          <w:color w:val="1F497D"/>
          <w:sz w:val="22"/>
        </w:rPr>
        <w:t>Статья 6. Конкурентная оговорка</w:t>
      </w:r>
    </w:p>
    <w:p>
      <w:pPr>
        <w:spacing w:after="60"/>
        <w:ind w:firstLine="283"/>
      </w:pPr>
      <w:r>
        <w:rPr>
          <w:b/>
        </w:rPr>
        <w:t xml:space="preserve">6.1. </w:t>
      </w:r>
      <w:r>
        <w:t>В течение срока действия Соглашения и 12 (двенадцати) месяцев после его прекращения Клиент обязуется не привлекать к выполнению аналогичных функций сотрудников или субподрядчиков Провайдера, а также не оказывать содействия иным лицам в таком привлечении.</w:t>
      </w:r>
    </w:p>
    <w:p>
      <w:pPr>
        <w:spacing w:after="60"/>
        <w:ind w:firstLine="283"/>
      </w:pPr>
      <w:r>
        <w:rPr>
          <w:b/>
        </w:rPr>
        <w:t xml:space="preserve">6.2. </w:t>
      </w:r>
      <w:r>
        <w:t>За каждый случай нарушения п. 6.1 Клиент уплачивает штраф в размере годового дохода привлечённого специалиста.</w:t>
      </w:r>
    </w:p>
    <w:p>
      <w:r>
        <w:rPr>
          <w:b/>
          <w:color w:val="1F497D"/>
          <w:sz w:val="22"/>
        </w:rPr>
        <w:t>Статья 7. Срок, расторжение, прочее</w:t>
      </w:r>
    </w:p>
    <w:p>
      <w:pPr>
        <w:spacing w:after="60"/>
        <w:ind w:firstLine="283"/>
      </w:pPr>
      <w:r>
        <w:rPr>
          <w:b/>
        </w:rPr>
        <w:t xml:space="preserve">7.1. </w:t>
      </w:r>
      <w:r>
        <w:t>Соглашение заключается на 1 год с автоматической пролонгацией. Отказ от пролонгации направляется не менее чем за 90 (девяносто) дней.</w:t>
      </w:r>
    </w:p>
    <w:p>
      <w:pPr>
        <w:spacing w:after="60"/>
        <w:ind w:firstLine="283"/>
      </w:pPr>
      <w:r>
        <w:rPr>
          <w:b/>
        </w:rPr>
        <w:t xml:space="preserve">7.2. </w:t>
      </w:r>
      <w:r>
        <w:t>При досрочном расторжении по инициативе Клиента взимается компенсационный сбор в размере 4-кратной стоимости месячного обслуживания.</w:t>
      </w:r>
    </w:p>
    <w:p>
      <w:pPr>
        <w:spacing w:after="60"/>
        <w:ind w:firstLine="283"/>
      </w:pPr>
      <w:r>
        <w:rPr>
          <w:b/>
        </w:rPr>
        <w:t xml:space="preserve">7.3. </w:t>
      </w:r>
      <w:r>
        <w:t>Настоящее Соглашение является конфиденциальным. Его условия, включая стоимость, не подлежат разглашению под угрозой штрафа 300 000 рублей.</w:t>
      </w:r>
    </w:p>
    <w:p>
      <w:pPr>
        <w:spacing w:after="60"/>
        <w:ind w:firstLine="283"/>
      </w:pPr>
      <w:r>
        <w:rPr>
          <w:b/>
        </w:rPr>
        <w:t xml:space="preserve">7.4. </w:t>
      </w:r>
      <w:r>
        <w:t>Споры рассматриваются в суде общей юрисдикции по месту нахождения Провайдера (г. Санкт-Петербург).</w:t>
      </w:r>
    </w:p>
    <w:p/>
    <w:p>
      <w:pPr>
        <w:jc w:val="center"/>
      </w:pPr>
      <w:r>
        <w:rPr>
          <w:i/>
        </w:rPr>
        <w:t>────────────────────────────────────────────────────────────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ПРОВАЙДЕР</w:t>
              <w:br/>
              <w:t>ООО «КадровыеРешения»</w:t>
              <w:br/>
              <w:t>ИНН 7814567890</w:t>
              <w:br/>
              <w:t>Генеральный директор</w:t>
            </w:r>
          </w:p>
        </w:tc>
        <w:tc>
          <w:tcPr>
            <w:tcW w:type="dxa" w:w="4844"/>
          </w:tcPr>
          <w:p>
            <w:r>
              <w:t>КЛИЕНТ</w:t>
              <w:br/>
              <w:br/>
              <w:br/>
              <w:t>Руководитель</w:t>
            </w:r>
          </w:p>
        </w:tc>
      </w:tr>
      <w:tr>
        <w:tc>
          <w:tcPr>
            <w:tcW w:type="dxa" w:w="4844"/>
          </w:tcPr>
          <w:p>
            <w:r>
              <w:t>_______________/Смирнова Е.В.</w:t>
            </w:r>
          </w:p>
        </w:tc>
        <w:tc>
          <w:tcPr>
            <w:tcW w:type="dxa" w:w="4844"/>
          </w:tcPr>
          <w:p>
            <w:r>
              <w:t>_______________/_______________</w:t>
            </w:r>
          </w:p>
        </w:tc>
      </w:tr>
      <w:tr>
        <w:tc>
          <w:tcPr>
            <w:tcW w:type="dxa" w:w="4844"/>
          </w:tcPr>
          <w:p>
            <w:r>
              <w:t>М.П.</w:t>
            </w:r>
          </w:p>
        </w:tc>
        <w:tc>
          <w:tcPr>
            <w:tcW w:type="dxa" w:w="4844"/>
          </w:tcPr>
          <w:p>
            <w:r>
              <w:t>М.П.</w:t>
            </w:r>
          </w:p>
        </w:tc>
      </w:tr>
    </w:tbl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